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08455A">
      <w:pPr>
        <w:jc w:val="center"/>
        <w:rPr>
          <w:b/>
        </w:rPr>
      </w:pPr>
      <w:r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465C13" w:rsidRPr="0085792B" w:rsidTr="00A46300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465C13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465C13" w:rsidRPr="00877067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877067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465C13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465C13" w:rsidRPr="0085246D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85246D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465C13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465C13" w:rsidRPr="0085792B" w:rsidTr="00A46300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465C13" w:rsidRPr="0085792B" w:rsidTr="00A46300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465C13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465C13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5664D3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465C13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5664D3" w:rsidRDefault="00465C13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465C13" w:rsidRPr="0085792B" w:rsidTr="00A46300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465C13" w:rsidRPr="0085792B" w:rsidTr="00A46300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465C13" w:rsidRPr="0085792B" w:rsidTr="00A46300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465C13" w:rsidRPr="0085792B" w:rsidTr="00A46300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465C13" w:rsidRPr="0085792B" w:rsidTr="00A46300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</w:p>
        </w:tc>
      </w:tr>
      <w:tr w:rsidR="00465C13" w:rsidRPr="0085792B" w:rsidTr="00A46300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465C13" w:rsidRPr="0085792B" w:rsidTr="00A46300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465C13" w:rsidRPr="0085792B" w:rsidTr="00A46300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465C13" w:rsidRPr="0085792B" w:rsidTr="00A46300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465C13" w:rsidRPr="0085792B" w:rsidTr="00A46300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465C13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465C13" w:rsidRPr="0085792B" w:rsidTr="00A46300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465C13" w:rsidRPr="0085792B" w:rsidTr="00A46300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465C13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465C13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465C13" w:rsidRPr="0085792B" w:rsidTr="00A46300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465C13" w:rsidRPr="0085792B" w:rsidTr="00A46300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465C13" w:rsidRPr="0085792B" w:rsidTr="00A46300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taxe, costul creditului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taxe, costul creditului</w:t>
            </w:r>
          </w:p>
        </w:tc>
      </w:tr>
      <w:tr w:rsidR="00465C13" w:rsidRPr="0085792B" w:rsidTr="00A46300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465C13" w:rsidRPr="0085792B" w:rsidTr="00A46300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465C13" w:rsidRPr="0085792B" w:rsidTr="00A46300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465C13" w:rsidRPr="0085792B" w:rsidRDefault="00465C13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:rsidR="00A55654" w:rsidRDefault="00A55654" w:rsidP="00823463">
      <w:pPr>
        <w:jc w:val="center"/>
        <w:rPr>
          <w:b/>
          <w:caps/>
          <w:sz w:val="20"/>
          <w:szCs w:val="20"/>
        </w:rPr>
      </w:pPr>
    </w:p>
    <w:p w:rsidR="00465C13" w:rsidRDefault="00465C13" w:rsidP="00823463">
      <w:pPr>
        <w:jc w:val="center"/>
        <w:rPr>
          <w:b/>
          <w:caps/>
          <w:sz w:val="20"/>
          <w:szCs w:val="20"/>
        </w:rPr>
      </w:pPr>
    </w:p>
    <w:p w:rsidR="00465C13" w:rsidRDefault="00465C13" w:rsidP="00823463">
      <w:pPr>
        <w:jc w:val="center"/>
        <w:rPr>
          <w:b/>
          <w:caps/>
          <w:sz w:val="20"/>
          <w:szCs w:val="20"/>
        </w:rPr>
      </w:pPr>
    </w:p>
    <w:p w:rsidR="00465C13" w:rsidRPr="0008455A" w:rsidRDefault="00465C13" w:rsidP="00823463">
      <w:pPr>
        <w:jc w:val="center"/>
        <w:rPr>
          <w:b/>
          <w:caps/>
          <w:sz w:val="20"/>
          <w:szCs w:val="20"/>
        </w:rPr>
      </w:pPr>
    </w:p>
    <w:p w:rsidR="00A55654" w:rsidRDefault="00A55654" w:rsidP="0056790C">
      <w:pPr>
        <w:rPr>
          <w:b/>
        </w:rPr>
      </w:pPr>
      <w:bookmarkStart w:id="0" w:name="_GoBack"/>
      <w:bookmarkEnd w:id="0"/>
    </w:p>
    <w:sectPr w:rsidR="00A55654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734" w:rsidRDefault="00877734" w:rsidP="0056790C">
      <w:r>
        <w:separator/>
      </w:r>
    </w:p>
  </w:endnote>
  <w:endnote w:type="continuationSeparator" w:id="0">
    <w:p w:rsidR="00877734" w:rsidRDefault="0087773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734" w:rsidRDefault="00877734" w:rsidP="0056790C">
      <w:r>
        <w:separator/>
      </w:r>
    </w:p>
  </w:footnote>
  <w:footnote w:type="continuationSeparator" w:id="0">
    <w:p w:rsidR="00877734" w:rsidRDefault="0087773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Pr="00890CE6">
      <w:rPr>
        <w:b/>
        <w:sz w:val="16"/>
        <w:szCs w:val="16"/>
      </w:rPr>
      <w:t xml:space="preserve"> </w:t>
    </w:r>
    <w:r w:rsidR="00AE739E">
      <w:rPr>
        <w:b/>
        <w:sz w:val="16"/>
        <w:szCs w:val="16"/>
      </w:rPr>
      <w:t xml:space="preserve">               </w:t>
    </w:r>
    <w:r w:rsidRPr="00890CE6">
      <w:rPr>
        <w:b/>
        <w:sz w:val="16"/>
        <w:szCs w:val="16"/>
      </w:rPr>
      <w:t xml:space="preserve">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Pr="00573C37">
      <w:rPr>
        <w:b/>
        <w:sz w:val="16"/>
        <w:szCs w:val="16"/>
      </w:rPr>
      <w:t xml:space="preserve">Ghidul Solicitantului Ghidul Solicitantului_OS </w:t>
    </w:r>
    <w:r w:rsidR="004019D8">
      <w:rPr>
        <w:b/>
        <w:sz w:val="16"/>
        <w:szCs w:val="16"/>
      </w:rPr>
      <w:t>1.</w:t>
    </w:r>
    <w:r w:rsidR="00AE739E">
      <w:rPr>
        <w:b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22D6"/>
    <w:rsid w:val="00054CDA"/>
    <w:rsid w:val="00060DCA"/>
    <w:rsid w:val="00060F38"/>
    <w:rsid w:val="0008455A"/>
    <w:rsid w:val="00085633"/>
    <w:rsid w:val="00086769"/>
    <w:rsid w:val="000868B0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19D8"/>
    <w:rsid w:val="00405466"/>
    <w:rsid w:val="00407920"/>
    <w:rsid w:val="00415099"/>
    <w:rsid w:val="00424999"/>
    <w:rsid w:val="00436838"/>
    <w:rsid w:val="004375E9"/>
    <w:rsid w:val="0046133B"/>
    <w:rsid w:val="00465C13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E37AA"/>
    <w:rsid w:val="007F668D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77734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76F7C"/>
    <w:rsid w:val="00984701"/>
    <w:rsid w:val="00986F99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E739E"/>
    <w:rsid w:val="00AF0408"/>
    <w:rsid w:val="00AF1CF4"/>
    <w:rsid w:val="00AF7B7B"/>
    <w:rsid w:val="00B0281C"/>
    <w:rsid w:val="00B11BB5"/>
    <w:rsid w:val="00B14BC4"/>
    <w:rsid w:val="00B17E22"/>
    <w:rsid w:val="00B40481"/>
    <w:rsid w:val="00B4470F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461A"/>
    <w:rsid w:val="00D95444"/>
    <w:rsid w:val="00DB019D"/>
    <w:rsid w:val="00DB1E1E"/>
    <w:rsid w:val="00DE29E6"/>
    <w:rsid w:val="00DE4DC9"/>
    <w:rsid w:val="00DE60C4"/>
    <w:rsid w:val="00E00488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BD1C729-304E-4F9A-869A-385E6B5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EB498-1FE8-4EC0-8430-A11694A3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29</cp:revision>
  <cp:lastPrinted>2016-03-16T13:50:00Z</cp:lastPrinted>
  <dcterms:created xsi:type="dcterms:W3CDTF">2016-03-21T21:45:00Z</dcterms:created>
  <dcterms:modified xsi:type="dcterms:W3CDTF">2016-05-19T11:02:00Z</dcterms:modified>
</cp:coreProperties>
</file>